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F10F25" w:rsidP="00E8080D">
      <w:pPr>
        <w:widowControl w:val="0"/>
        <w:spacing w:after="0" w:line="240" w:lineRule="auto"/>
        <w:ind w:left="4678"/>
        <w:jc w:val="right"/>
        <w:rPr>
          <w:rFonts w:ascii="Times New Roman" w:hAnsi="Times New Roman" w:cs="Times New Roman"/>
          <w:b/>
          <w:sz w:val="24"/>
          <w:szCs w:val="24"/>
        </w:rPr>
      </w:pPr>
      <w:r w:rsidRPr="00F10F25">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-1070610</wp:posOffset>
            </wp:positionH>
            <wp:positionV relativeFrom="paragraph">
              <wp:posOffset>-710565</wp:posOffset>
            </wp:positionV>
            <wp:extent cx="7522407" cy="10629900"/>
            <wp:effectExtent l="0" t="0" r="0" b="0"/>
            <wp:wrapNone/>
            <wp:docPr id="1" name="Рисунок 1" descr="C:\Users\user\Desktop\doc02378820170908145829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8820170908145829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5670" cy="106345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F10F25"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E182F1"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9E3D0D" w:rsidRPr="009E3D0D">
        <w:rPr>
          <w:rFonts w:ascii="Times New Roman" w:hAnsi="Times New Roman" w:cs="Times New Roman"/>
          <w:b/>
          <w:sz w:val="24"/>
          <w:szCs w:val="24"/>
          <w:u w:val="single"/>
        </w:rPr>
        <w:t>РТС246А170022</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BB4CFB">
        <w:rPr>
          <w:rFonts w:ascii="Times New Roman" w:hAnsi="Times New Roman" w:cs="Times New Roman"/>
          <w:b/>
          <w:sz w:val="24"/>
          <w:szCs w:val="24"/>
        </w:rPr>
        <w:t>крыши</w:t>
      </w:r>
      <w:r w:rsidR="00E308AC">
        <w:rPr>
          <w:rFonts w:ascii="Times New Roman" w:hAnsi="Times New Roman" w:cs="Times New Roman"/>
          <w:b/>
          <w:sz w:val="24"/>
          <w:szCs w:val="24"/>
        </w:rPr>
        <w:t xml:space="preserve"> многоквартирного дома</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расположенного</w:t>
      </w:r>
      <w:r w:rsidR="0051091F">
        <w:rPr>
          <w:rFonts w:ascii="Times New Roman" w:hAnsi="Times New Roman" w:cs="Times New Roman"/>
          <w:b/>
          <w:sz w:val="24"/>
          <w:szCs w:val="24"/>
        </w:rPr>
        <w:t xml:space="preserve"> на терри</w:t>
      </w:r>
      <w:r>
        <w:rPr>
          <w:rFonts w:ascii="Times New Roman" w:hAnsi="Times New Roman" w:cs="Times New Roman"/>
          <w:b/>
          <w:sz w:val="24"/>
          <w:szCs w:val="24"/>
        </w:rPr>
        <w:t>тории Курской области по адресу</w:t>
      </w:r>
      <w:r w:rsidR="0051091F">
        <w:rPr>
          <w:rFonts w:ascii="Times New Roman" w:hAnsi="Times New Roman" w:cs="Times New Roman"/>
          <w:b/>
          <w:sz w:val="24"/>
          <w:szCs w:val="24"/>
        </w:rPr>
        <w:t>:</w:t>
      </w:r>
    </w:p>
    <w:p w:rsidR="00E8080D" w:rsidRDefault="009E3D0D"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ул. Станционная, д.18</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032479"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2479">
              <w:rPr>
                <w:rFonts w:ascii="Times New Roman" w:eastAsia="Times New Roman" w:hAnsi="Times New Roman" w:cs="Times New Roman"/>
                <w:sz w:val="24"/>
                <w:szCs w:val="24"/>
                <w:lang w:eastAsia="ar-SA"/>
              </w:rPr>
              <w:t>РТС246А170022</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DC4A1F" w:rsidP="00FD476A">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DC4A1F">
              <w:rPr>
                <w:rFonts w:ascii="Times New Roman" w:eastAsia="Times New Roman" w:hAnsi="Times New Roman" w:cs="Times New Roman"/>
                <w:color w:val="0D0D0D"/>
                <w:sz w:val="24"/>
                <w:szCs w:val="24"/>
                <w:lang w:eastAsia="ru-RU"/>
              </w:rPr>
              <w:t xml:space="preserve">Капитальный ремонт крыши многоквартирного дома по адресу: </w:t>
            </w:r>
            <w:r w:rsidR="009E3D0D">
              <w:rPr>
                <w:rFonts w:ascii="Times New Roman" w:eastAsia="Times New Roman" w:hAnsi="Times New Roman" w:cs="Times New Roman"/>
                <w:color w:val="0D0D0D"/>
                <w:sz w:val="24"/>
                <w:szCs w:val="24"/>
                <w:lang w:eastAsia="ru-RU"/>
              </w:rPr>
              <w:t>г. Курск, ул. Станционная, д.18</w:t>
            </w:r>
            <w:r w:rsidR="00C82BE5" w:rsidRPr="00C82BE5">
              <w:rPr>
                <w:rFonts w:ascii="Times New Roman" w:eastAsia="Times New Roman" w:hAnsi="Times New Roman" w:cs="Times New Roman"/>
                <w:color w:val="0D0D0D"/>
                <w:sz w:val="24"/>
                <w:szCs w:val="24"/>
                <w:lang w:eastAsia="ru-RU"/>
              </w:rPr>
              <w:t>.</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DC4A1F" w:rsidP="00121817">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w:t>
            </w:r>
            <w:r w:rsidR="00121817">
              <w:rPr>
                <w:rFonts w:ascii="Times New Roman" w:eastAsia="Times New Roman" w:hAnsi="Times New Roman" w:cs="Times New Roman"/>
                <w:sz w:val="24"/>
                <w:szCs w:val="24"/>
                <w:lang w:eastAsia="ru-RU"/>
              </w:rPr>
              <w:t>9</w:t>
            </w:r>
            <w:r w:rsidRPr="00DC4A1F">
              <w:rPr>
                <w:rFonts w:ascii="Times New Roman" w:eastAsia="Times New Roman" w:hAnsi="Times New Roman" w:cs="Times New Roman"/>
                <w:sz w:val="24"/>
                <w:szCs w:val="24"/>
                <w:lang w:eastAsia="ru-RU"/>
              </w:rPr>
              <w:t>.09.2017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DC4A1F" w:rsidP="00121817">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w:t>
            </w:r>
            <w:r w:rsidR="00121817">
              <w:rPr>
                <w:rFonts w:ascii="Times New Roman" w:eastAsia="Times New Roman" w:hAnsi="Times New Roman" w:cs="Times New Roman"/>
                <w:sz w:val="24"/>
                <w:szCs w:val="24"/>
                <w:lang w:eastAsia="ru-RU"/>
              </w:rPr>
              <w:t>8</w:t>
            </w:r>
            <w:r w:rsidRPr="00DC4A1F">
              <w:rPr>
                <w:rFonts w:ascii="Times New Roman" w:eastAsia="Times New Roman" w:hAnsi="Times New Roman" w:cs="Times New Roman"/>
                <w:sz w:val="24"/>
                <w:szCs w:val="24"/>
                <w:lang w:eastAsia="ru-RU"/>
              </w:rPr>
              <w:t>.10.2017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BF360A" w:rsidP="00123E16">
            <w:pPr>
              <w:spacing w:after="0" w:line="240" w:lineRule="auto"/>
              <w:jc w:val="both"/>
              <w:rPr>
                <w:rFonts w:ascii="Times New Roman" w:eastAsia="Times New Roman" w:hAnsi="Times New Roman" w:cs="Times New Roman"/>
                <w:sz w:val="24"/>
                <w:szCs w:val="24"/>
                <w:highlight w:val="yellow"/>
                <w:lang w:eastAsia="ru-RU"/>
              </w:rPr>
            </w:pPr>
            <w:r w:rsidRPr="00BF360A">
              <w:rPr>
                <w:rFonts w:ascii="Times New Roman" w:eastAsia="Times New Roman" w:hAnsi="Times New Roman" w:cs="Times New Roman"/>
                <w:sz w:val="24"/>
                <w:szCs w:val="24"/>
                <w:lang w:eastAsia="ru-RU"/>
              </w:rPr>
              <w:t>20</w:t>
            </w:r>
            <w:r w:rsidR="00FA171E" w:rsidRPr="00BF360A">
              <w:rPr>
                <w:rFonts w:ascii="Times New Roman" w:eastAsia="Times New Roman" w:hAnsi="Times New Roman" w:cs="Times New Roman"/>
                <w:sz w:val="24"/>
                <w:szCs w:val="24"/>
                <w:lang w:eastAsia="ru-RU"/>
              </w:rPr>
              <w:t xml:space="preserve"> </w:t>
            </w:r>
            <w:r w:rsidR="00123E16" w:rsidRPr="00116093">
              <w:rPr>
                <w:rFonts w:ascii="Times New Roman" w:eastAsia="Times New Roman" w:hAnsi="Times New Roman" w:cs="Times New Roman"/>
                <w:sz w:val="24"/>
                <w:szCs w:val="24"/>
                <w:lang w:eastAsia="ru-RU"/>
              </w:rPr>
              <w:t>октября</w:t>
            </w:r>
            <w:r w:rsidR="00FA171E" w:rsidRPr="00116093">
              <w:rPr>
                <w:rFonts w:ascii="Times New Roman" w:eastAsia="Times New Roman" w:hAnsi="Times New Roman" w:cs="Times New Roman"/>
                <w:sz w:val="24"/>
                <w:szCs w:val="24"/>
                <w:lang w:eastAsia="ru-RU"/>
              </w:rPr>
              <w:t xml:space="preserve"> 2017 г. 1</w:t>
            </w:r>
            <w:r w:rsidR="003D6FEF" w:rsidRPr="00116093">
              <w:rPr>
                <w:rFonts w:ascii="Times New Roman" w:eastAsia="Times New Roman" w:hAnsi="Times New Roman" w:cs="Times New Roman"/>
                <w:sz w:val="24"/>
                <w:szCs w:val="24"/>
                <w:lang w:eastAsia="ru-RU"/>
              </w:rPr>
              <w:t>6</w:t>
            </w:r>
            <w:r w:rsidR="00FA171E" w:rsidRPr="00116093">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w:t>
            </w:r>
            <w:proofErr w:type="gramStart"/>
            <w:r w:rsidR="00121817">
              <w:rPr>
                <w:rFonts w:ascii="Times New Roman" w:eastAsia="Times New Roman" w:hAnsi="Times New Roman" w:cs="Times New Roman"/>
                <w:sz w:val="24"/>
                <w:szCs w:val="24"/>
                <w:lang w:eastAsia="ru-RU"/>
              </w:rPr>
              <w:t>10</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w:t>
            </w:r>
            <w:proofErr w:type="gramEnd"/>
            <w:r w:rsidRPr="000D5D7E">
              <w:rPr>
                <w:rFonts w:ascii="Times New Roman" w:eastAsia="Times New Roman" w:hAnsi="Times New Roman" w:cs="Times New Roman"/>
                <w:sz w:val="24"/>
                <w:szCs w:val="24"/>
                <w:lang w:eastAsia="ru-RU"/>
              </w:rPr>
              <w:t xml:space="preserve"> </w:t>
            </w:r>
            <w:r w:rsidR="000D5D7E">
              <w:rPr>
                <w:rFonts w:ascii="Times New Roman" w:eastAsia="Times New Roman" w:hAnsi="Times New Roman" w:cs="Times New Roman"/>
                <w:sz w:val="24"/>
                <w:szCs w:val="24"/>
                <w:lang w:eastAsia="ru-RU"/>
              </w:rPr>
              <w:t xml:space="preserve"> </w:t>
            </w:r>
            <w:r w:rsidR="00DC4A1F">
              <w:rPr>
                <w:rFonts w:ascii="Times New Roman" w:eastAsia="Times New Roman" w:hAnsi="Times New Roman" w:cs="Times New Roman"/>
                <w:sz w:val="24"/>
                <w:szCs w:val="24"/>
                <w:lang w:eastAsia="ru-RU"/>
              </w:rPr>
              <w:t>сентября</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201</w:t>
            </w:r>
            <w:r w:rsidR="00FA171E" w:rsidRPr="000D5D7E">
              <w:rPr>
                <w:rFonts w:ascii="Times New Roman" w:eastAsia="Times New Roman" w:hAnsi="Times New Roman" w:cs="Times New Roman"/>
                <w:sz w:val="24"/>
                <w:szCs w:val="24"/>
                <w:lang w:eastAsia="ru-RU"/>
              </w:rPr>
              <w:t>7</w:t>
            </w:r>
            <w:r w:rsidRPr="000D5D7E">
              <w:rPr>
                <w:rFonts w:ascii="Times New Roman" w:eastAsia="Times New Roman" w:hAnsi="Times New Roman" w:cs="Times New Roman"/>
                <w:sz w:val="24"/>
                <w:szCs w:val="24"/>
                <w:lang w:eastAsia="ru-RU"/>
              </w:rPr>
              <w:t xml:space="preserve">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Pr="00220E36">
              <w:rPr>
                <w:rFonts w:ascii="Times New Roman" w:eastAsia="Times New Roman" w:hAnsi="Times New Roman" w:cs="Times New Roman"/>
                <w:sz w:val="24"/>
                <w:szCs w:val="24"/>
                <w:lang w:eastAsia="ru-RU"/>
              </w:rPr>
              <w:t>«</w:t>
            </w:r>
            <w:proofErr w:type="gramStart"/>
            <w:r w:rsidR="00121817">
              <w:rPr>
                <w:rFonts w:ascii="Times New Roman" w:eastAsia="Times New Roman" w:hAnsi="Times New Roman" w:cs="Times New Roman"/>
                <w:sz w:val="24"/>
                <w:szCs w:val="24"/>
                <w:lang w:eastAsia="ru-RU"/>
              </w:rPr>
              <w:t>5</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w:t>
            </w:r>
            <w:proofErr w:type="gramEnd"/>
            <w:r w:rsidRPr="00220E36">
              <w:rPr>
                <w:rFonts w:ascii="Times New Roman" w:eastAsia="Times New Roman" w:hAnsi="Times New Roman" w:cs="Times New Roman"/>
                <w:sz w:val="24"/>
                <w:szCs w:val="24"/>
                <w:lang w:eastAsia="ru-RU"/>
              </w:rPr>
              <w:t xml:space="preserve"> </w:t>
            </w:r>
            <w:r w:rsidR="00E33094" w:rsidRPr="00220E36">
              <w:rPr>
                <w:rFonts w:ascii="Times New Roman" w:eastAsia="Times New Roman" w:hAnsi="Times New Roman" w:cs="Times New Roman"/>
                <w:sz w:val="24"/>
                <w:szCs w:val="24"/>
                <w:lang w:eastAsia="ru-RU"/>
              </w:rPr>
              <w:t xml:space="preserve">  </w:t>
            </w:r>
            <w:r w:rsidR="00220E36" w:rsidRPr="00220E36">
              <w:rPr>
                <w:rFonts w:ascii="Times New Roman" w:eastAsia="Times New Roman" w:hAnsi="Times New Roman" w:cs="Times New Roman"/>
                <w:sz w:val="24"/>
                <w:szCs w:val="24"/>
                <w:lang w:eastAsia="ru-RU"/>
              </w:rPr>
              <w:t>октября</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201</w:t>
            </w:r>
            <w:r w:rsidR="00FA171E" w:rsidRPr="00220E36">
              <w:rPr>
                <w:rFonts w:ascii="Times New Roman" w:eastAsia="Times New Roman" w:hAnsi="Times New Roman" w:cs="Times New Roman"/>
                <w:sz w:val="24"/>
                <w:szCs w:val="24"/>
                <w:lang w:eastAsia="ru-RU"/>
              </w:rPr>
              <w:t>7</w:t>
            </w:r>
            <w:r w:rsidRPr="00220E36">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9E3D0D" w:rsidP="003A12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0D0D0D"/>
                <w:sz w:val="24"/>
                <w:szCs w:val="24"/>
                <w:lang w:eastAsia="ru-RU"/>
              </w:rPr>
              <w:t>г. Курск, ул. Станционная, д.18</w:t>
            </w:r>
            <w:r w:rsidR="00C82BE5" w:rsidRPr="00C82BE5">
              <w:rPr>
                <w:rFonts w:ascii="Times New Roman" w:eastAsia="Times New Roman" w:hAnsi="Times New Roman" w:cs="Times New Roman"/>
                <w:i/>
                <w:color w:val="0D0D0D"/>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032479" w:rsidP="00DF7D64">
            <w:pPr>
              <w:spacing w:after="0" w:line="240" w:lineRule="auto"/>
              <w:jc w:val="both"/>
              <w:rPr>
                <w:rFonts w:ascii="Times New Roman" w:eastAsia="Times New Roman" w:hAnsi="Times New Roman" w:cs="Times New Roman"/>
                <w:sz w:val="24"/>
                <w:szCs w:val="24"/>
                <w:lang w:eastAsia="ru-RU"/>
              </w:rPr>
            </w:pPr>
            <w:r w:rsidRPr="00032479">
              <w:rPr>
                <w:rFonts w:ascii="Times New Roman" w:eastAsia="Times New Roman" w:hAnsi="Times New Roman" w:cs="Times New Roman"/>
                <w:b/>
                <w:sz w:val="24"/>
                <w:szCs w:val="24"/>
                <w:lang w:eastAsia="ru-RU"/>
              </w:rPr>
              <w:t xml:space="preserve">1 905 058,00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миллион девятьсот пять тысяч пятьдесят восемь</w:t>
            </w:r>
            <w:r w:rsidR="00DF7D64" w:rsidRPr="005C7499">
              <w:rPr>
                <w:rFonts w:ascii="Times New Roman" w:eastAsia="Times New Roman" w:hAnsi="Times New Roman" w:cs="Times New Roman"/>
                <w:sz w:val="24"/>
                <w:szCs w:val="24"/>
                <w:lang w:eastAsia="ru-RU"/>
              </w:rPr>
              <w:t xml:space="preserve">) </w:t>
            </w:r>
            <w:r w:rsidR="00D65168" w:rsidRPr="005C7499">
              <w:rPr>
                <w:rFonts w:ascii="Times New Roman" w:eastAsia="Times New Roman" w:hAnsi="Times New Roman" w:cs="Times New Roman"/>
                <w:sz w:val="24"/>
                <w:szCs w:val="24"/>
                <w:lang w:eastAsia="ru-RU"/>
              </w:rPr>
              <w:t>рублей 00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032479">
              <w:rPr>
                <w:rFonts w:ascii="Times New Roman" w:eastAsia="Times New Roman" w:hAnsi="Times New Roman" w:cs="Times New Roman"/>
                <w:b/>
                <w:sz w:val="24"/>
                <w:szCs w:val="24"/>
                <w:lang w:eastAsia="ru-RU"/>
              </w:rPr>
              <w:t>342 910</w:t>
            </w:r>
            <w:r w:rsidR="00E848D0">
              <w:rPr>
                <w:rFonts w:ascii="Times New Roman" w:eastAsia="Times New Roman" w:hAnsi="Times New Roman" w:cs="Times New Roman"/>
                <w:b/>
                <w:sz w:val="24"/>
                <w:szCs w:val="24"/>
                <w:lang w:eastAsia="ru-RU"/>
              </w:rPr>
              <w:t>,4</w:t>
            </w:r>
            <w:r w:rsidR="00032479">
              <w:rPr>
                <w:rFonts w:ascii="Times New Roman" w:eastAsia="Times New Roman" w:hAnsi="Times New Roman" w:cs="Times New Roman"/>
                <w:b/>
                <w:sz w:val="24"/>
                <w:szCs w:val="24"/>
                <w:lang w:eastAsia="ru-RU"/>
              </w:rPr>
              <w:t>4</w:t>
            </w:r>
            <w:r w:rsidR="005C7499" w:rsidRPr="005C7499">
              <w:rPr>
                <w:rFonts w:ascii="Times New Roman" w:eastAsia="Times New Roman" w:hAnsi="Times New Roman" w:cs="Times New Roman"/>
                <w:sz w:val="24"/>
                <w:szCs w:val="24"/>
                <w:lang w:eastAsia="ru-RU"/>
              </w:rPr>
              <w:t xml:space="preserve"> </w:t>
            </w:r>
            <w:r w:rsidR="00DF7D64" w:rsidRPr="005C7499">
              <w:rPr>
                <w:rFonts w:ascii="Times New Roman" w:eastAsia="Times New Roman" w:hAnsi="Times New Roman" w:cs="Times New Roman"/>
                <w:sz w:val="24"/>
                <w:szCs w:val="24"/>
                <w:lang w:eastAsia="ru-RU"/>
              </w:rPr>
              <w:t>(</w:t>
            </w:r>
            <w:r w:rsidR="00032479">
              <w:rPr>
                <w:rFonts w:ascii="Times New Roman" w:eastAsia="Times New Roman" w:hAnsi="Times New Roman" w:cs="Times New Roman"/>
                <w:sz w:val="24"/>
                <w:szCs w:val="24"/>
                <w:lang w:eastAsia="ru-RU"/>
              </w:rPr>
              <w:t>триста сорок две тысячи девятьсот десять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032479">
              <w:rPr>
                <w:rFonts w:ascii="Times New Roman" w:eastAsia="Times New Roman" w:hAnsi="Times New Roman" w:cs="Times New Roman"/>
                <w:sz w:val="24"/>
                <w:szCs w:val="24"/>
                <w:lang w:eastAsia="ru-RU"/>
              </w:rPr>
              <w:t>ей</w:t>
            </w:r>
            <w:r w:rsidR="00E848D0">
              <w:rPr>
                <w:rFonts w:ascii="Times New Roman" w:eastAsia="Times New Roman" w:hAnsi="Times New Roman" w:cs="Times New Roman"/>
                <w:sz w:val="24"/>
                <w:szCs w:val="24"/>
                <w:lang w:eastAsia="ru-RU"/>
              </w:rPr>
              <w:t xml:space="preserve"> 4</w:t>
            </w:r>
            <w:r w:rsidR="00032479">
              <w:rPr>
                <w:rFonts w:ascii="Times New Roman" w:eastAsia="Times New Roman" w:hAnsi="Times New Roman" w:cs="Times New Roman"/>
                <w:sz w:val="24"/>
                <w:szCs w:val="24"/>
                <w:lang w:eastAsia="ru-RU"/>
              </w:rPr>
              <w:t>4</w:t>
            </w:r>
            <w:r w:rsidR="00456922" w:rsidRPr="005C7499">
              <w:rPr>
                <w:rFonts w:ascii="Times New Roman" w:eastAsia="Times New Roman" w:hAnsi="Times New Roman" w:cs="Times New Roman"/>
                <w:sz w:val="24"/>
                <w:szCs w:val="24"/>
                <w:lang w:eastAsia="ru-RU"/>
              </w:rPr>
              <w:t xml:space="preserve"> </w:t>
            </w:r>
            <w:r w:rsidR="00032479">
              <w:rPr>
                <w:rFonts w:ascii="Times New Roman" w:eastAsia="Times New Roman" w:hAnsi="Times New Roman" w:cs="Times New Roman"/>
                <w:sz w:val="24"/>
                <w:szCs w:val="24"/>
                <w:lang w:eastAsia="ru-RU"/>
              </w:rPr>
              <w:t>копей</w:t>
            </w:r>
            <w:r w:rsidR="005C7499" w:rsidRPr="005C7499">
              <w:rPr>
                <w:rFonts w:ascii="Times New Roman" w:eastAsia="Times New Roman" w:hAnsi="Times New Roman" w:cs="Times New Roman"/>
                <w:sz w:val="24"/>
                <w:szCs w:val="24"/>
                <w:lang w:eastAsia="ru-RU"/>
              </w:rPr>
              <w:t>к</w:t>
            </w:r>
            <w:r w:rsidR="00032479">
              <w:rPr>
                <w:rFonts w:ascii="Times New Roman" w:eastAsia="Times New Roman" w:hAnsi="Times New Roman" w:cs="Times New Roman"/>
                <w:sz w:val="24"/>
                <w:szCs w:val="24"/>
                <w:lang w:eastAsia="ru-RU"/>
              </w:rPr>
              <w:t>и</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875CAD" w:rsidRPr="00875CAD">
              <w:rPr>
                <w:rFonts w:ascii="Times New Roman" w:eastAsia="Times New Roman" w:hAnsi="Times New Roman" w:cs="Times New Roman"/>
                <w:b/>
                <w:i/>
                <w:sz w:val="24"/>
                <w:szCs w:val="24"/>
                <w:lang w:eastAsia="ru-RU"/>
              </w:rPr>
              <w:t xml:space="preserve">38 101,16 </w:t>
            </w:r>
            <w:r w:rsidR="00212CC8" w:rsidRPr="00A6543B">
              <w:rPr>
                <w:rFonts w:ascii="Times New Roman" w:eastAsia="Times New Roman" w:hAnsi="Times New Roman" w:cs="Times New Roman"/>
                <w:i/>
                <w:sz w:val="24"/>
                <w:szCs w:val="24"/>
                <w:lang w:eastAsia="ru-RU"/>
              </w:rPr>
              <w:t>(</w:t>
            </w:r>
            <w:r w:rsidR="00875CAD">
              <w:rPr>
                <w:rFonts w:ascii="Times New Roman" w:eastAsia="Times New Roman" w:hAnsi="Times New Roman" w:cs="Times New Roman"/>
                <w:i/>
                <w:sz w:val="24"/>
                <w:szCs w:val="24"/>
                <w:lang w:eastAsia="ru-RU"/>
              </w:rPr>
              <w:t>тридцать восемь тысяч сто один) рубль</w:t>
            </w:r>
            <w:r w:rsidR="00BD2C24" w:rsidRPr="00A6543B">
              <w:rPr>
                <w:rFonts w:ascii="Times New Roman" w:eastAsia="Times New Roman" w:hAnsi="Times New Roman" w:cs="Times New Roman"/>
                <w:i/>
                <w:sz w:val="24"/>
                <w:szCs w:val="24"/>
                <w:lang w:eastAsia="ru-RU"/>
              </w:rPr>
              <w:t xml:space="preserve"> </w:t>
            </w:r>
            <w:r w:rsidR="00875CAD">
              <w:rPr>
                <w:rFonts w:ascii="Times New Roman" w:eastAsia="Times New Roman" w:hAnsi="Times New Roman" w:cs="Times New Roman"/>
                <w:i/>
                <w:sz w:val="24"/>
                <w:szCs w:val="24"/>
                <w:lang w:eastAsia="ru-RU"/>
              </w:rPr>
              <w:t>16</w:t>
            </w:r>
            <w:r w:rsidR="00212C51" w:rsidRPr="00A6543B">
              <w:rPr>
                <w:rFonts w:ascii="Times New Roman" w:eastAsia="Times New Roman" w:hAnsi="Times New Roman" w:cs="Times New Roman"/>
                <w:i/>
                <w:sz w:val="24"/>
                <w:szCs w:val="24"/>
                <w:lang w:eastAsia="ru-RU"/>
              </w:rPr>
              <w:t xml:space="preserve"> </w:t>
            </w:r>
            <w:r w:rsidR="002B30AA" w:rsidRPr="00A6543B">
              <w:rPr>
                <w:rFonts w:ascii="Times New Roman" w:eastAsia="Times New Roman" w:hAnsi="Times New Roman" w:cs="Times New Roman"/>
                <w:i/>
                <w:sz w:val="24"/>
                <w:szCs w:val="24"/>
                <w:lang w:eastAsia="ru-RU"/>
              </w:rPr>
              <w:t>копе</w:t>
            </w:r>
            <w:r w:rsidR="0042727E" w:rsidRPr="00A6543B">
              <w:rPr>
                <w:rFonts w:ascii="Times New Roman" w:eastAsia="Times New Roman" w:hAnsi="Times New Roman" w:cs="Times New Roman"/>
                <w:i/>
                <w:sz w:val="24"/>
                <w:szCs w:val="24"/>
                <w:lang w:eastAsia="ru-RU"/>
              </w:rPr>
              <w:t>ек</w:t>
            </w:r>
            <w:r w:rsidR="00DF7D64" w:rsidRPr="00A6543B">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875CAD" w:rsidP="00A03E5E">
            <w:pPr>
              <w:spacing w:after="0" w:line="240" w:lineRule="auto"/>
              <w:jc w:val="both"/>
              <w:rPr>
                <w:rFonts w:ascii="Times New Roman" w:eastAsia="Times New Roman" w:hAnsi="Times New Roman" w:cs="Times New Roman"/>
                <w:sz w:val="24"/>
                <w:szCs w:val="24"/>
                <w:lang w:eastAsia="ru-RU"/>
              </w:rPr>
            </w:pPr>
            <w:r w:rsidRPr="00875CAD">
              <w:rPr>
                <w:rFonts w:ascii="Times New Roman" w:eastAsia="Times New Roman" w:hAnsi="Times New Roman" w:cs="Times New Roman"/>
                <w:b/>
                <w:i/>
                <w:sz w:val="24"/>
                <w:szCs w:val="24"/>
                <w:lang w:eastAsia="ru-RU"/>
              </w:rPr>
              <w:t xml:space="preserve">190 505,80 </w:t>
            </w:r>
            <w:r w:rsidR="00212CC8" w:rsidRPr="00A6543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сто девяноста тысяч пятьсот пять) </w:t>
            </w:r>
            <w:r w:rsidR="00DB6262" w:rsidRPr="00A6543B">
              <w:rPr>
                <w:rFonts w:ascii="Times New Roman" w:eastAsia="Times New Roman" w:hAnsi="Times New Roman" w:cs="Times New Roman"/>
                <w:i/>
                <w:sz w:val="24"/>
                <w:szCs w:val="24"/>
                <w:lang w:eastAsia="ru-RU"/>
              </w:rPr>
              <w:t>руб</w:t>
            </w:r>
            <w:r w:rsidR="005B4790" w:rsidRPr="00A6543B">
              <w:rPr>
                <w:rFonts w:ascii="Times New Roman" w:eastAsia="Times New Roman" w:hAnsi="Times New Roman" w:cs="Times New Roman"/>
                <w:i/>
                <w:sz w:val="24"/>
                <w:szCs w:val="24"/>
                <w:lang w:eastAsia="ru-RU"/>
              </w:rPr>
              <w:t>л</w:t>
            </w:r>
            <w:r>
              <w:rPr>
                <w:rFonts w:ascii="Times New Roman" w:eastAsia="Times New Roman" w:hAnsi="Times New Roman" w:cs="Times New Roman"/>
                <w:i/>
                <w:sz w:val="24"/>
                <w:szCs w:val="24"/>
                <w:lang w:eastAsia="ru-RU"/>
              </w:rPr>
              <w:t>ей</w:t>
            </w:r>
            <w:r w:rsidR="00AE2FD3" w:rsidRPr="00A6543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8</w:t>
            </w:r>
            <w:r w:rsidR="00A6543B" w:rsidRPr="00A6543B">
              <w:rPr>
                <w:rFonts w:ascii="Times New Roman" w:eastAsia="Times New Roman" w:hAnsi="Times New Roman" w:cs="Times New Roman"/>
                <w:i/>
                <w:sz w:val="24"/>
                <w:szCs w:val="24"/>
                <w:lang w:eastAsia="ru-RU"/>
              </w:rPr>
              <w:t>0</w:t>
            </w:r>
            <w:r w:rsidR="00D42EB5" w:rsidRPr="00A6543B">
              <w:rPr>
                <w:rFonts w:ascii="Times New Roman" w:eastAsia="Times New Roman" w:hAnsi="Times New Roman" w:cs="Times New Roman"/>
                <w:b/>
                <w:i/>
                <w:sz w:val="24"/>
                <w:szCs w:val="24"/>
                <w:lang w:eastAsia="ru-RU"/>
              </w:rPr>
              <w:t xml:space="preserve"> </w:t>
            </w:r>
            <w:r w:rsidR="00DB6262" w:rsidRPr="00A6543B">
              <w:rPr>
                <w:rFonts w:ascii="Times New Roman" w:eastAsia="Times New Roman" w:hAnsi="Times New Roman" w:cs="Times New Roman"/>
                <w:i/>
                <w:sz w:val="24"/>
                <w:szCs w:val="24"/>
                <w:lang w:eastAsia="ru-RU"/>
              </w:rPr>
              <w:t>копе</w:t>
            </w:r>
            <w:r w:rsidR="00EF68A1">
              <w:rPr>
                <w:rFonts w:ascii="Times New Roman" w:eastAsia="Times New Roman" w:hAnsi="Times New Roman" w:cs="Times New Roman"/>
                <w:i/>
                <w:sz w:val="24"/>
                <w:szCs w:val="24"/>
                <w:lang w:eastAsia="ru-RU"/>
              </w:rPr>
              <w:t>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9E3D0D" w:rsidP="00C63C4D">
            <w:pPr>
              <w:widowControl w:val="0"/>
              <w:tabs>
                <w:tab w:val="left" w:pos="567"/>
              </w:tabs>
              <w:jc w:val="both"/>
              <w:rPr>
                <w:rFonts w:ascii="Times New Roman" w:eastAsia="Times New Roman" w:hAnsi="Times New Roman" w:cs="Times New Roman"/>
                <w:i/>
                <w:color w:val="0D0D0D"/>
                <w:sz w:val="24"/>
                <w:szCs w:val="24"/>
                <w:lang w:eastAsia="ru-RU"/>
              </w:rPr>
            </w:pPr>
            <w:r>
              <w:rPr>
                <w:rFonts w:ascii="Times New Roman" w:eastAsia="Times New Roman" w:hAnsi="Times New Roman" w:cs="Times New Roman"/>
                <w:i/>
                <w:color w:val="0D0D0D"/>
                <w:sz w:val="24"/>
                <w:szCs w:val="24"/>
                <w:lang w:eastAsia="ru-RU"/>
              </w:rPr>
              <w:t>Г. Курск, ул. Станционная, д.18</w:t>
            </w:r>
            <w:r w:rsidR="00C82BE5">
              <w:rPr>
                <w:rFonts w:ascii="Times New Roman" w:eastAsia="Times New Roman" w:hAnsi="Times New Roman" w:cs="Times New Roman"/>
                <w:i/>
                <w:color w:val="0D0D0D"/>
                <w:sz w:val="24"/>
                <w:szCs w:val="24"/>
                <w:lang w:eastAsia="ru-RU"/>
              </w:rPr>
              <w:t>.</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общего имущества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D65DBE" w:rsidRPr="00D65DBE">
        <w:rPr>
          <w:rFonts w:ascii="Times New Roman" w:hAnsi="Times New Roman" w:cs="Times New Roman"/>
          <w:sz w:val="28"/>
          <w:szCs w:val="28"/>
        </w:rPr>
        <w:t>г. К</w:t>
      </w:r>
      <w:r w:rsidR="00444B53">
        <w:rPr>
          <w:rFonts w:ascii="Times New Roman" w:hAnsi="Times New Roman" w:cs="Times New Roman"/>
          <w:sz w:val="28"/>
          <w:szCs w:val="28"/>
        </w:rPr>
        <w:t>урска</w:t>
      </w:r>
      <w:r w:rsidR="00D65DBE" w:rsidRPr="00D65DBE">
        <w:rPr>
          <w:rFonts w:ascii="Times New Roman" w:hAnsi="Times New Roman" w:cs="Times New Roman"/>
          <w:sz w:val="28"/>
          <w:szCs w:val="28"/>
        </w:rPr>
        <w:t xml:space="preserve">, </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07A0C" w:rsidRDefault="00B07A0C" w:rsidP="001411BC">
      <w:pPr>
        <w:widowControl w:val="0"/>
        <w:tabs>
          <w:tab w:val="left" w:pos="567"/>
        </w:tabs>
        <w:spacing w:after="0" w:line="240" w:lineRule="auto"/>
        <w:jc w:val="both"/>
        <w:rPr>
          <w:rFonts w:ascii="Times New Roman" w:hAnsi="Times New Roman" w:cs="Times New Roman"/>
          <w:b/>
          <w:sz w:val="28"/>
          <w:szCs w:val="28"/>
        </w:rPr>
      </w:pPr>
    </w:p>
    <w:p w:rsidR="00B07A0C" w:rsidRDefault="00B07A0C" w:rsidP="001411BC">
      <w:pPr>
        <w:widowControl w:val="0"/>
        <w:tabs>
          <w:tab w:val="left" w:pos="567"/>
        </w:tabs>
        <w:spacing w:after="0" w:line="240" w:lineRule="auto"/>
        <w:jc w:val="both"/>
        <w:rPr>
          <w:rFonts w:ascii="Times New Roman" w:hAnsi="Times New Roman" w:cs="Times New Roman"/>
          <w:b/>
          <w:sz w:val="28"/>
          <w:szCs w:val="28"/>
        </w:rPr>
      </w:pPr>
    </w:p>
    <w:p w:rsidR="00B07A0C" w:rsidRDefault="00B07A0C" w:rsidP="001411BC">
      <w:pPr>
        <w:widowControl w:val="0"/>
        <w:tabs>
          <w:tab w:val="left" w:pos="567"/>
        </w:tabs>
        <w:spacing w:after="0" w:line="240" w:lineRule="auto"/>
        <w:jc w:val="both"/>
        <w:rPr>
          <w:rFonts w:ascii="Times New Roman" w:hAnsi="Times New Roman" w:cs="Times New Roman"/>
          <w:b/>
          <w:sz w:val="28"/>
          <w:szCs w:val="28"/>
        </w:rPr>
      </w:pPr>
    </w:p>
    <w:p w:rsidR="00B07A0C" w:rsidRDefault="00B07A0C" w:rsidP="001411BC">
      <w:pPr>
        <w:widowControl w:val="0"/>
        <w:tabs>
          <w:tab w:val="left" w:pos="567"/>
        </w:tabs>
        <w:spacing w:after="0" w:line="240" w:lineRule="auto"/>
        <w:jc w:val="both"/>
        <w:rPr>
          <w:rFonts w:ascii="Times New Roman" w:hAnsi="Times New Roman" w:cs="Times New Roman"/>
          <w:b/>
          <w:sz w:val="28"/>
          <w:szCs w:val="28"/>
        </w:rPr>
      </w:pPr>
    </w:p>
    <w:p w:rsidR="00B07A0C" w:rsidRDefault="00B07A0C" w:rsidP="001411BC">
      <w:pPr>
        <w:widowControl w:val="0"/>
        <w:tabs>
          <w:tab w:val="left" w:pos="567"/>
        </w:tabs>
        <w:spacing w:after="0" w:line="240" w:lineRule="auto"/>
        <w:jc w:val="both"/>
        <w:rPr>
          <w:rFonts w:ascii="Times New Roman" w:hAnsi="Times New Roman" w:cs="Times New Roman"/>
          <w:b/>
          <w:sz w:val="28"/>
          <w:szCs w:val="28"/>
        </w:rPr>
      </w:pPr>
    </w:p>
    <w:p w:rsidR="00C10D19" w:rsidRPr="00FA171E" w:rsidRDefault="00C10D19"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многоквартирного дома, расположенного</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5B368E" w:rsidRPr="001C3DD2" w:rsidRDefault="009E3D0D" w:rsidP="005B368E">
      <w:pPr>
        <w:widowControl w:val="0"/>
        <w:suppressAutoHyphens/>
        <w:spacing w:after="0" w:line="240" w:lineRule="auto"/>
        <w:ind w:left="-567"/>
        <w:jc w:val="center"/>
        <w:rPr>
          <w:rFonts w:ascii="Times New Roman" w:eastAsia="Times New Roman" w:hAnsi="Times New Roman" w:cs="Times New Roman"/>
          <w:bCs/>
          <w:color w:val="00000A"/>
          <w:sz w:val="28"/>
          <w:szCs w:val="28"/>
          <w:lang w:eastAsia="ru-RU"/>
        </w:rPr>
      </w:pPr>
      <w:r>
        <w:rPr>
          <w:rFonts w:ascii="Times New Roman" w:eastAsia="Times New Roman" w:hAnsi="Times New Roman" w:cs="Times New Roman"/>
          <w:bCs/>
          <w:color w:val="00000A"/>
          <w:sz w:val="28"/>
          <w:szCs w:val="28"/>
          <w:lang w:eastAsia="ru-RU"/>
        </w:rPr>
        <w:t>г. Курск, ул. Станционная, д.18</w:t>
      </w:r>
      <w:r w:rsidR="00C82BE5">
        <w:rPr>
          <w:rFonts w:ascii="Times New Roman" w:eastAsia="Times New Roman" w:hAnsi="Times New Roman" w:cs="Times New Roman"/>
          <w:bCs/>
          <w:color w:val="00000A"/>
          <w:sz w:val="28"/>
          <w:szCs w:val="28"/>
          <w:lang w:eastAsia="ru-RU"/>
        </w:rPr>
        <w:t>.</w:t>
      </w:r>
      <w:r w:rsidR="005F529E">
        <w:rPr>
          <w:rFonts w:ascii="Times New Roman" w:eastAsia="Times New Roman" w:hAnsi="Times New Roman" w:cs="Times New Roman"/>
          <w:bCs/>
          <w:color w:val="00000A"/>
          <w:sz w:val="28"/>
          <w:szCs w:val="28"/>
          <w:lang w:eastAsia="ru-RU"/>
        </w:rPr>
        <w:t xml:space="preserve"> </w:t>
      </w:r>
    </w:p>
    <w:p w:rsidR="00807137" w:rsidRDefault="003B20F8" w:rsidP="00541727">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общего имущества в многокварти</w:t>
      </w:r>
      <w:r w:rsidR="005F529E">
        <w:rPr>
          <w:rFonts w:ascii="Times New Roman" w:eastAsia="Times New Roman" w:hAnsi="Times New Roman" w:cs="Times New Roman"/>
          <w:color w:val="00000A"/>
          <w:sz w:val="28"/>
          <w:szCs w:val="28"/>
          <w:lang w:eastAsia="ar-SA"/>
        </w:rPr>
        <w:t>рном доме</w:t>
      </w:r>
      <w:r w:rsidR="005F529E">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адресу</w:t>
      </w:r>
      <w:r w:rsidR="001C3DD2">
        <w:rPr>
          <w:rFonts w:ascii="Times New Roman" w:eastAsia="Times New Roman" w:hAnsi="Times New Roman" w:cs="Times New Roman"/>
          <w:color w:val="000000"/>
          <w:sz w:val="28"/>
          <w:szCs w:val="28"/>
          <w:lang w:eastAsia="ar-SA"/>
        </w:rPr>
        <w:t>:</w:t>
      </w:r>
      <w:r w:rsidR="001C3DD2" w:rsidRPr="001C3DD2">
        <w:t xml:space="preserve"> </w:t>
      </w:r>
      <w:r w:rsidR="009E3D0D">
        <w:rPr>
          <w:rFonts w:ascii="Times New Roman" w:eastAsia="Times New Roman" w:hAnsi="Times New Roman" w:cs="Times New Roman"/>
          <w:color w:val="000000"/>
          <w:sz w:val="28"/>
          <w:szCs w:val="28"/>
          <w:lang w:eastAsia="ar-SA"/>
        </w:rPr>
        <w:t>г. Курск, ул. Станционная, д.18</w:t>
      </w:r>
      <w:r w:rsidR="005F529E">
        <w:rPr>
          <w:rFonts w:ascii="Times New Roman" w:eastAsia="Times New Roman" w:hAnsi="Times New Roman" w:cs="Times New Roman"/>
          <w:color w:val="000000"/>
          <w:sz w:val="28"/>
          <w:szCs w:val="28"/>
          <w:lang w:eastAsia="ar-SA"/>
        </w:rPr>
        <w:t>.</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690"/>
        <w:gridCol w:w="3736"/>
        <w:gridCol w:w="2075"/>
        <w:gridCol w:w="1936"/>
        <w:gridCol w:w="1775"/>
      </w:tblGrid>
      <w:tr w:rsidR="003B20F8" w:rsidRPr="00FA171E" w:rsidTr="005F529E">
        <w:trPr>
          <w:trHeight w:val="900"/>
        </w:trPr>
        <w:tc>
          <w:tcPr>
            <w:tcW w:w="33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29"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AE19E9" w:rsidRPr="00444B53" w:rsidTr="005F529E">
        <w:trPr>
          <w:trHeight w:val="445"/>
        </w:trPr>
        <w:tc>
          <w:tcPr>
            <w:tcW w:w="338" w:type="pct"/>
            <w:tcBorders>
              <w:top w:val="nil"/>
              <w:left w:val="single" w:sz="8" w:space="0" w:color="auto"/>
              <w:bottom w:val="single" w:sz="4" w:space="0" w:color="auto"/>
              <w:right w:val="single" w:sz="4" w:space="0" w:color="auto"/>
            </w:tcBorders>
            <w:shd w:val="clear" w:color="000000" w:fill="FFFFFF"/>
          </w:tcPr>
          <w:p w:rsidR="00AE19E9" w:rsidRPr="00464785" w:rsidRDefault="00AE19E9"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29" w:type="pct"/>
            <w:tcBorders>
              <w:top w:val="nil"/>
              <w:left w:val="nil"/>
              <w:bottom w:val="single" w:sz="4" w:space="0" w:color="auto"/>
              <w:right w:val="single" w:sz="4" w:space="0" w:color="auto"/>
            </w:tcBorders>
            <w:shd w:val="clear" w:color="000000" w:fill="FFFFFF"/>
          </w:tcPr>
          <w:p w:rsidR="00AE19E9" w:rsidRPr="00464785" w:rsidRDefault="00AE19E9" w:rsidP="00F36FB7">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F36FB7" w:rsidRPr="00464785">
              <w:rPr>
                <w:rFonts w:ascii="Times New Roman" w:eastAsia="Times New Roman" w:hAnsi="Times New Roman" w:cs="Times New Roman"/>
                <w:color w:val="00000A"/>
                <w:sz w:val="24"/>
                <w:szCs w:val="24"/>
                <w:lang w:eastAsia="ar-SA"/>
              </w:rPr>
              <w:t>крыши</w:t>
            </w:r>
            <w:r w:rsidRPr="00464785">
              <w:rPr>
                <w:rFonts w:ascii="Times New Roman" w:eastAsia="Times New Roman" w:hAnsi="Times New Roman" w:cs="Times New Roman"/>
                <w:color w:val="00000A"/>
                <w:sz w:val="24"/>
                <w:szCs w:val="24"/>
                <w:lang w:eastAsia="ar-SA"/>
              </w:rPr>
              <w:t xml:space="preserve"> </w:t>
            </w:r>
            <w:r w:rsidRPr="00464785">
              <w:rPr>
                <w:rFonts w:ascii="Times New Roman" w:eastAsia="Times New Roman" w:hAnsi="Times New Roman" w:cs="Times New Roman"/>
                <w:color w:val="000000"/>
                <w:sz w:val="24"/>
                <w:szCs w:val="24"/>
                <w:lang w:eastAsia="ar-SA"/>
              </w:rPr>
              <w:t xml:space="preserve">многоквартирного </w:t>
            </w:r>
            <w:r w:rsidRPr="00464785">
              <w:rPr>
                <w:rFonts w:ascii="Times New Roman" w:eastAsia="Times New Roman" w:hAnsi="Times New Roman" w:cs="Times New Roman"/>
                <w:bCs/>
                <w:color w:val="00000A"/>
                <w:sz w:val="24"/>
                <w:szCs w:val="24"/>
                <w:lang w:eastAsia="ar-SA"/>
              </w:rPr>
              <w:t xml:space="preserve">жилого дома, расположенного по адресу: </w:t>
            </w:r>
            <w:r w:rsidR="009E3D0D">
              <w:rPr>
                <w:rFonts w:ascii="Times New Roman" w:eastAsia="Times New Roman" w:hAnsi="Times New Roman" w:cs="Times New Roman"/>
                <w:bCs/>
                <w:color w:val="00000A"/>
                <w:sz w:val="24"/>
                <w:szCs w:val="24"/>
                <w:lang w:eastAsia="ar-SA"/>
              </w:rPr>
              <w:t>г. Курск, ул. Станционная, д.18</w:t>
            </w:r>
            <w:r w:rsidR="00C82BE5">
              <w:rPr>
                <w:rFonts w:ascii="Times New Roman" w:eastAsia="Times New Roman" w:hAnsi="Times New Roman" w:cs="Times New Roman"/>
                <w:bCs/>
                <w:color w:val="00000A"/>
                <w:sz w:val="24"/>
                <w:szCs w:val="24"/>
                <w:lang w:eastAsia="ar-SA"/>
              </w:rPr>
              <w:t>.</w:t>
            </w: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536D92" w:rsidRDefault="00536D92"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AE19E9" w:rsidRPr="00444B53" w:rsidRDefault="003C163F"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536D92" w:rsidRDefault="00536D92"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AE19E9" w:rsidRPr="00C4772D" w:rsidRDefault="00AE19E9"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C4772D">
              <w:rPr>
                <w:rFonts w:ascii="Times New Roman" w:eastAsia="Times New Roman" w:hAnsi="Times New Roman" w:cs="Times New Roman"/>
                <w:color w:val="000000"/>
                <w:sz w:val="24"/>
                <w:szCs w:val="24"/>
                <w:lang w:eastAsia="ru-RU"/>
              </w:rPr>
              <w:t xml:space="preserve">Смета </w:t>
            </w:r>
            <w:r w:rsidR="006B6BCC">
              <w:rPr>
                <w:rFonts w:ascii="Times New Roman" w:eastAsia="Times New Roman" w:hAnsi="Times New Roman" w:cs="Times New Roman"/>
                <w:color w:val="000000"/>
                <w:sz w:val="24"/>
                <w:szCs w:val="24"/>
                <w:lang w:eastAsia="ru-RU"/>
              </w:rPr>
              <w:t>1</w:t>
            </w:r>
          </w:p>
        </w:tc>
        <w:tc>
          <w:tcPr>
            <w:tcW w:w="869" w:type="pct"/>
            <w:tcBorders>
              <w:top w:val="nil"/>
              <w:left w:val="nil"/>
              <w:bottom w:val="single" w:sz="4" w:space="0" w:color="auto"/>
              <w:right w:val="single" w:sz="8" w:space="0" w:color="auto"/>
            </w:tcBorders>
            <w:shd w:val="clear" w:color="000000" w:fill="FFFFFF"/>
          </w:tcPr>
          <w:p w:rsidR="00536D92" w:rsidRDefault="00536D92"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5701A" w:rsidRPr="00C4772D" w:rsidRDefault="00875CAD"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875CAD">
              <w:rPr>
                <w:rFonts w:ascii="Times New Roman" w:eastAsia="Times New Roman" w:hAnsi="Times New Roman" w:cs="Times New Roman"/>
                <w:color w:val="00000A"/>
                <w:sz w:val="24"/>
                <w:szCs w:val="24"/>
                <w:lang w:eastAsia="ru-RU"/>
              </w:rPr>
              <w:t>905 058,00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875CAD" w:rsidRPr="00875CAD" w:rsidRDefault="00143E01" w:rsidP="00875CAD">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875CAD" w:rsidRPr="00875CAD">
              <w:rPr>
                <w:rFonts w:ascii="Times New Roman" w:eastAsia="Times New Roman" w:hAnsi="Times New Roman" w:cs="Times New Roman"/>
                <w:b/>
                <w:color w:val="000000"/>
                <w:sz w:val="24"/>
                <w:szCs w:val="24"/>
                <w:lang w:eastAsia="ru-RU"/>
              </w:rPr>
              <w:t xml:space="preserve">1 </w:t>
            </w:r>
          </w:p>
          <w:p w:rsidR="00143E01" w:rsidRPr="00764E14" w:rsidRDefault="00103D9B" w:rsidP="00875CAD">
            <w:pPr>
              <w:spacing w:after="0" w:line="240" w:lineRule="auto"/>
              <w:rPr>
                <w:rFonts w:ascii="Times New Roman" w:eastAsia="Times New Roman" w:hAnsi="Times New Roman" w:cs="Times New Roman"/>
                <w:b/>
                <w:bCs/>
                <w:color w:val="00000A"/>
                <w:sz w:val="24"/>
                <w:szCs w:val="24"/>
                <w:highlight w:val="yellow"/>
                <w:lang w:eastAsia="ru-RU"/>
              </w:rPr>
            </w:pPr>
            <w:r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875CAD" w:rsidRPr="00875CAD">
              <w:rPr>
                <w:rFonts w:ascii="Times New Roman" w:eastAsia="Times New Roman" w:hAnsi="Times New Roman" w:cs="Times New Roman"/>
                <w:b/>
                <w:color w:val="00000A"/>
                <w:sz w:val="24"/>
                <w:szCs w:val="24"/>
                <w:lang w:eastAsia="ru-RU"/>
              </w:rPr>
              <w:t>342 910,44</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 xml:space="preserve">общего имущества многоквартирного дома, </w:t>
      </w:r>
      <w:r w:rsidR="006F3490" w:rsidRPr="0027485B">
        <w:rPr>
          <w:rFonts w:ascii="Times New Roman" w:hAnsi="Times New Roman" w:cs="Times New Roman"/>
          <w:b/>
          <w:sz w:val="28"/>
          <w:szCs w:val="28"/>
        </w:rPr>
        <w:t>расположенного</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адресу</w:t>
      </w:r>
      <w:r w:rsidR="00940547" w:rsidRPr="0027485B">
        <w:rPr>
          <w:rFonts w:ascii="Times New Roman" w:hAnsi="Times New Roman" w:cs="Times New Roman"/>
          <w:b/>
          <w:sz w:val="28"/>
          <w:szCs w:val="28"/>
        </w:rPr>
        <w:t>:</w:t>
      </w:r>
    </w:p>
    <w:p w:rsidR="00324F18" w:rsidRPr="0027485B" w:rsidRDefault="009E3D0D"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ar-SA"/>
        </w:rPr>
        <w:t>г. Курск, ул. Станционная, д.18</w:t>
      </w:r>
      <w:r w:rsidR="00C82BE5" w:rsidRPr="0027485B">
        <w:rPr>
          <w:rFonts w:ascii="Times New Roman" w:eastAsia="Times New Roman" w:hAnsi="Times New Roman" w:cs="Times New Roman"/>
          <w:color w:val="000000"/>
          <w:sz w:val="28"/>
          <w:szCs w:val="28"/>
          <w:lang w:eastAsia="ar-SA"/>
        </w:rPr>
        <w:t>.</w:t>
      </w:r>
      <w:r w:rsidR="00350053" w:rsidRPr="0027485B">
        <w:rPr>
          <w:rFonts w:ascii="Times New Roman" w:eastAsia="Times New Roman" w:hAnsi="Times New Roman" w:cs="Times New Roman"/>
          <w:color w:val="000000"/>
          <w:sz w:val="28"/>
          <w:szCs w:val="28"/>
          <w:lang w:eastAsia="ar-SA"/>
        </w:rPr>
        <w:t xml:space="preserve"> </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9E3D0D" w:rsidP="00444B53">
            <w:pPr>
              <w:widowControl w:val="0"/>
              <w:spacing w:before="20" w:after="20" w:line="240" w:lineRule="auto"/>
              <w:ind w:right="418"/>
              <w:jc w:val="both"/>
              <w:rPr>
                <w:rFonts w:ascii="Times New Roman" w:hAnsi="Times New Roman" w:cs="Times New Roman"/>
                <w:sz w:val="24"/>
                <w:szCs w:val="24"/>
              </w:rPr>
            </w:pPr>
            <w:r>
              <w:rPr>
                <w:rFonts w:ascii="Times New Roman" w:hAnsi="Times New Roman" w:cs="Times New Roman"/>
                <w:sz w:val="24"/>
                <w:szCs w:val="24"/>
              </w:rPr>
              <w:t>г. Курск, ул. Станционная, д.18</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266C0E" w:rsidRPr="00FA171E" w:rsidTr="00210C18">
        <w:trPr>
          <w:trHeight w:val="254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FA171E" w:rsidRDefault="000001A9"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444B53" w:rsidRDefault="009E3D0D" w:rsidP="00590E01">
            <w:pPr>
              <w:spacing w:after="0" w:line="240" w:lineRule="auto"/>
              <w:jc w:val="center"/>
              <w:rPr>
                <w:rFonts w:ascii="Times New Roman" w:eastAsia="Calibri" w:hAnsi="Times New Roman" w:cs="Times New Roman"/>
                <w:sz w:val="24"/>
                <w:szCs w:val="24"/>
                <w:highlight w:val="yellow"/>
              </w:rPr>
            </w:pPr>
            <w:r>
              <w:rPr>
                <w:rFonts w:ascii="Times New Roman" w:eastAsia="Times New Roman" w:hAnsi="Times New Roman" w:cs="Times New Roman"/>
                <w:color w:val="000000"/>
                <w:sz w:val="24"/>
                <w:szCs w:val="24"/>
                <w:lang w:eastAsia="ar-SA"/>
              </w:rPr>
              <w:t>г. Курск, ул. Станционная, д.18</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B144E8" w:rsidRPr="00B144E8">
              <w:rPr>
                <w:rFonts w:ascii="Times New Roman" w:eastAsia="Times New Roman" w:hAnsi="Times New Roman" w:cs="Times New Roman"/>
                <w:color w:val="000000"/>
                <w:sz w:val="24"/>
                <w:szCs w:val="24"/>
                <w:lang w:eastAsia="ru-RU"/>
              </w:rPr>
              <w:t>1969</w:t>
            </w:r>
          </w:p>
          <w:p w:rsidR="005F15E0" w:rsidRDefault="005F15E0"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B144E8" w:rsidRPr="00B144E8">
              <w:rPr>
                <w:rFonts w:ascii="Times New Roman" w:eastAsia="Times New Roman" w:hAnsi="Times New Roman" w:cs="Times New Roman"/>
                <w:color w:val="000000"/>
                <w:sz w:val="24"/>
                <w:szCs w:val="24"/>
                <w:lang w:eastAsia="ru-RU"/>
              </w:rPr>
              <w:t>4304,8</w:t>
            </w:r>
            <w:r w:rsidR="0054490E">
              <w:rPr>
                <w:rFonts w:ascii="Times New Roman" w:eastAsia="Times New Roman" w:hAnsi="Times New Roman" w:cs="Times New Roman"/>
                <w:color w:val="000000"/>
                <w:sz w:val="24"/>
                <w:szCs w:val="24"/>
                <w:lang w:eastAsia="ru-RU"/>
              </w:rPr>
              <w:t xml:space="preserve"> </w:t>
            </w:r>
            <w:r w:rsidRPr="005F15E0">
              <w:rPr>
                <w:rFonts w:ascii="Times New Roman" w:eastAsia="Times New Roman" w:hAnsi="Times New Roman" w:cs="Times New Roman"/>
                <w:color w:val="000000"/>
                <w:sz w:val="24"/>
                <w:szCs w:val="24"/>
                <w:lang w:eastAsia="ru-RU"/>
              </w:rPr>
              <w:t>м2</w:t>
            </w:r>
          </w:p>
          <w:p w:rsidR="008E5B1C" w:rsidRPr="00BA6A8F"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A6A8F">
              <w:rPr>
                <w:rFonts w:ascii="Times New Roman" w:eastAsia="Times New Roman" w:hAnsi="Times New Roman" w:cs="Times New Roman"/>
                <w:color w:val="000000"/>
                <w:sz w:val="24"/>
                <w:szCs w:val="24"/>
                <w:lang w:eastAsia="ru-RU"/>
              </w:rPr>
              <w:t>Крыша – плоская</w:t>
            </w:r>
          </w:p>
          <w:p w:rsidR="004D5B52" w:rsidRPr="00444B53" w:rsidRDefault="004D5B52" w:rsidP="004D5B52">
            <w:pPr>
              <w:widowControl w:val="0"/>
              <w:spacing w:after="0" w:line="240" w:lineRule="auto"/>
              <w:rPr>
                <w:rFonts w:ascii="Times New Roman" w:eastAsia="Times New Roman" w:hAnsi="Times New Roman" w:cs="Times New Roman"/>
                <w:color w:val="000000"/>
                <w:sz w:val="24"/>
                <w:szCs w:val="24"/>
                <w:highlight w:val="yellow"/>
                <w:lang w:eastAsia="ru-RU"/>
              </w:rPr>
            </w:pPr>
          </w:p>
          <w:p w:rsidR="00266C0E" w:rsidRPr="00444B53" w:rsidRDefault="00266C0E" w:rsidP="000E6CEE">
            <w:pPr>
              <w:widowControl w:val="0"/>
              <w:spacing w:after="0" w:line="240" w:lineRule="auto"/>
              <w:jc w:val="both"/>
              <w:rPr>
                <w:rFonts w:ascii="Times New Roman" w:eastAsia="Times New Roman" w:hAnsi="Times New Roman" w:cs="Times New Roman"/>
                <w:color w:val="000000"/>
                <w:sz w:val="24"/>
                <w:szCs w:val="24"/>
                <w:highlight w:val="yellow"/>
                <w:lang w:eastAsia="ru-RU"/>
              </w:rPr>
            </w:pPr>
            <w:r w:rsidRPr="005C0279">
              <w:rPr>
                <w:rFonts w:ascii="Times New Roman" w:eastAsia="Times New Roman" w:hAnsi="Times New Roman" w:cs="Times New Roman"/>
                <w:sz w:val="24"/>
                <w:szCs w:val="24"/>
              </w:rPr>
              <w:t>Вид работ</w:t>
            </w:r>
            <w:r w:rsidRPr="005C0279">
              <w:rPr>
                <w:rFonts w:ascii="Times New Roman" w:eastAsia="Times New Roman" w:hAnsi="Times New Roman" w:cs="Times New Roman"/>
                <w:b/>
                <w:sz w:val="24"/>
                <w:szCs w:val="24"/>
              </w:rPr>
              <w:t xml:space="preserve"> </w:t>
            </w:r>
            <w:r w:rsidRPr="005C0279">
              <w:rPr>
                <w:rFonts w:ascii="Times New Roman" w:eastAsia="Times New Roman" w:hAnsi="Times New Roman" w:cs="Times New Roman"/>
                <w:b/>
                <w:color w:val="000000"/>
                <w:sz w:val="24"/>
                <w:szCs w:val="24"/>
                <w:lang w:eastAsia="ru-RU"/>
              </w:rPr>
              <w:t xml:space="preserve">– ремонт </w:t>
            </w:r>
            <w:r w:rsidR="000E6CEE" w:rsidRPr="005C0279">
              <w:rPr>
                <w:rFonts w:ascii="Times New Roman" w:eastAsia="Times New Roman" w:hAnsi="Times New Roman" w:cs="Times New Roman"/>
                <w:b/>
                <w:color w:val="000000"/>
                <w:sz w:val="24"/>
                <w:szCs w:val="24"/>
                <w:lang w:eastAsia="ru-RU"/>
              </w:rPr>
              <w:t>крыши</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F35373" w:rsidRPr="00F35373" w:rsidRDefault="002226A6" w:rsidP="00F35373">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4D52E3">
        <w:rPr>
          <w:rFonts w:ascii="Times New Roman" w:hAnsi="Times New Roman" w:cs="Times New Roman"/>
          <w:b/>
          <w:sz w:val="28"/>
          <w:szCs w:val="28"/>
        </w:rPr>
        <w:t>у</w:t>
      </w:r>
      <w:r w:rsidR="00980DD3" w:rsidRPr="00F35373">
        <w:rPr>
          <w:rFonts w:ascii="Times New Roman" w:hAnsi="Times New Roman" w:cs="Times New Roman"/>
          <w:b/>
          <w:sz w:val="28"/>
          <w:szCs w:val="28"/>
        </w:rPr>
        <w:t>, расположенн</w:t>
      </w:r>
      <w:r w:rsidR="004D52E3">
        <w:rPr>
          <w:rFonts w:ascii="Times New Roman" w:hAnsi="Times New Roman" w:cs="Times New Roman"/>
          <w:b/>
          <w:sz w:val="28"/>
          <w:szCs w:val="28"/>
        </w:rPr>
        <w:t>ому</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адресу</w:t>
      </w:r>
      <w:r w:rsidR="0086656C" w:rsidRPr="00F35373">
        <w:rPr>
          <w:rFonts w:ascii="Times New Roman" w:hAnsi="Times New Roman" w:cs="Times New Roman"/>
          <w:b/>
          <w:sz w:val="28"/>
          <w:szCs w:val="28"/>
        </w:rPr>
        <w:t xml:space="preserve">: </w:t>
      </w:r>
      <w:r w:rsidR="00F35373" w:rsidRPr="00F35373">
        <w:rPr>
          <w:rFonts w:ascii="Times New Roman" w:hAnsi="Times New Roman" w:cs="Times New Roman"/>
          <w:b/>
          <w:sz w:val="28"/>
          <w:szCs w:val="28"/>
        </w:rPr>
        <w:t>Курск, ул. Черняховского, д.19</w:t>
      </w:r>
    </w:p>
    <w:p w:rsidR="00446F37" w:rsidRPr="00F35373" w:rsidRDefault="00446F37" w:rsidP="00CC47F9">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E01DC2">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E01DC2">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A48" w:rsidRDefault="00B05A48" w:rsidP="009E4821">
      <w:pPr>
        <w:spacing w:after="0" w:line="240" w:lineRule="auto"/>
      </w:pPr>
      <w:r>
        <w:separator/>
      </w:r>
    </w:p>
  </w:endnote>
  <w:endnote w:type="continuationSeparator" w:id="0">
    <w:p w:rsidR="00B05A48" w:rsidRDefault="00B05A48"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A48" w:rsidRDefault="00B05A48" w:rsidP="009E4821">
      <w:pPr>
        <w:spacing w:after="0" w:line="240" w:lineRule="auto"/>
      </w:pPr>
      <w:r>
        <w:separator/>
      </w:r>
    </w:p>
  </w:footnote>
  <w:footnote w:type="continuationSeparator" w:id="0">
    <w:p w:rsidR="00B05A48" w:rsidRDefault="00B05A48"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B07A0C">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0122"/>
    <w:rsid w:val="00272A5C"/>
    <w:rsid w:val="00272BF4"/>
    <w:rsid w:val="0027485B"/>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3E25"/>
    <w:rsid w:val="005C7499"/>
    <w:rsid w:val="005D2E77"/>
    <w:rsid w:val="005D42BF"/>
    <w:rsid w:val="005D7B58"/>
    <w:rsid w:val="005E1BDA"/>
    <w:rsid w:val="005E5928"/>
    <w:rsid w:val="005E5AB2"/>
    <w:rsid w:val="005E6083"/>
    <w:rsid w:val="005E7D65"/>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5CAD"/>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3D0D"/>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275"/>
    <w:rsid w:val="00AA6C0E"/>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05A48"/>
    <w:rsid w:val="00B06DA8"/>
    <w:rsid w:val="00B07A0C"/>
    <w:rsid w:val="00B11599"/>
    <w:rsid w:val="00B13011"/>
    <w:rsid w:val="00B13478"/>
    <w:rsid w:val="00B136B8"/>
    <w:rsid w:val="00B144E8"/>
    <w:rsid w:val="00B16C31"/>
    <w:rsid w:val="00B22FE8"/>
    <w:rsid w:val="00B244AB"/>
    <w:rsid w:val="00B24CB4"/>
    <w:rsid w:val="00B30E6A"/>
    <w:rsid w:val="00B3222A"/>
    <w:rsid w:val="00B32771"/>
    <w:rsid w:val="00B33B35"/>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64C9A"/>
    <w:rsid w:val="00B67EC5"/>
    <w:rsid w:val="00B712A0"/>
    <w:rsid w:val="00B71747"/>
    <w:rsid w:val="00B72159"/>
    <w:rsid w:val="00B73DDC"/>
    <w:rsid w:val="00B87747"/>
    <w:rsid w:val="00B87C62"/>
    <w:rsid w:val="00B90DD7"/>
    <w:rsid w:val="00B91944"/>
    <w:rsid w:val="00BA1154"/>
    <w:rsid w:val="00BA12A8"/>
    <w:rsid w:val="00BA29B7"/>
    <w:rsid w:val="00BA3F5D"/>
    <w:rsid w:val="00BA6908"/>
    <w:rsid w:val="00BA6A8F"/>
    <w:rsid w:val="00BA7FA4"/>
    <w:rsid w:val="00BB1847"/>
    <w:rsid w:val="00BB3504"/>
    <w:rsid w:val="00BB4CFB"/>
    <w:rsid w:val="00BB5131"/>
    <w:rsid w:val="00BC039E"/>
    <w:rsid w:val="00BC09B4"/>
    <w:rsid w:val="00BC0ECB"/>
    <w:rsid w:val="00BC255B"/>
    <w:rsid w:val="00BC313F"/>
    <w:rsid w:val="00BC7661"/>
    <w:rsid w:val="00BD0EEE"/>
    <w:rsid w:val="00BD235F"/>
    <w:rsid w:val="00BD287E"/>
    <w:rsid w:val="00BD2C24"/>
    <w:rsid w:val="00BD2FA1"/>
    <w:rsid w:val="00BD511F"/>
    <w:rsid w:val="00BE3570"/>
    <w:rsid w:val="00BE446C"/>
    <w:rsid w:val="00BE4B95"/>
    <w:rsid w:val="00BE7557"/>
    <w:rsid w:val="00BF0EAC"/>
    <w:rsid w:val="00BF16E6"/>
    <w:rsid w:val="00BF2B27"/>
    <w:rsid w:val="00BF360A"/>
    <w:rsid w:val="00BF5D9D"/>
    <w:rsid w:val="00BF796F"/>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765C"/>
    <w:rsid w:val="00C679A5"/>
    <w:rsid w:val="00C709B4"/>
    <w:rsid w:val="00C71835"/>
    <w:rsid w:val="00C728B5"/>
    <w:rsid w:val="00C74FC2"/>
    <w:rsid w:val="00C74FDE"/>
    <w:rsid w:val="00C82486"/>
    <w:rsid w:val="00C82BE5"/>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087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548"/>
    <w:rsid w:val="00E36952"/>
    <w:rsid w:val="00E429BF"/>
    <w:rsid w:val="00E4574F"/>
    <w:rsid w:val="00E45C55"/>
    <w:rsid w:val="00E46D38"/>
    <w:rsid w:val="00E47DDF"/>
    <w:rsid w:val="00E51B50"/>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0F25"/>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BDF60"/>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AF1CC-96ED-4711-A732-907BC5FFE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11140</Words>
  <Characters>63499</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4</cp:revision>
  <cp:lastPrinted>2017-03-28T11:05:00Z</cp:lastPrinted>
  <dcterms:created xsi:type="dcterms:W3CDTF">2017-09-08T11:10:00Z</dcterms:created>
  <dcterms:modified xsi:type="dcterms:W3CDTF">2017-09-08T11:13:00Z</dcterms:modified>
</cp:coreProperties>
</file>